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A0" w:rsidRDefault="00B525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34DFE" wp14:editId="2333DC4C">
                <wp:simplePos x="0" y="0"/>
                <wp:positionH relativeFrom="column">
                  <wp:posOffset>67586</wp:posOffset>
                </wp:positionH>
                <wp:positionV relativeFrom="paragraph">
                  <wp:posOffset>-43732</wp:posOffset>
                </wp:positionV>
                <wp:extent cx="866692" cy="667385"/>
                <wp:effectExtent l="0" t="0" r="101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92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A0" w:rsidRDefault="00CC17A0">
                            <w:r>
                              <w:rPr>
                                <w:rFonts w:ascii="Calibri" w:eastAsia="Calibri" w:hAnsi="Calibr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43AE37F" wp14:editId="32363443">
                                  <wp:extent cx="501812" cy="524786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018" cy="525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4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-3.45pt;width:68.2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" strokecolor="white [3212]">
                <v:textbox>
                  <w:txbxContent>
                    <w:p w:rsidR="00CC17A0" w:rsidRDefault="00CC17A0">
                      <w:r>
                        <w:rPr>
                          <w:rFonts w:ascii="Calibri" w:eastAsia="Calibri" w:hAnsi="Calibr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43AE37F" wp14:editId="32363443">
                            <wp:extent cx="501812" cy="524786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018" cy="525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04CBE" wp14:editId="04BCC5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5011" cy="524786"/>
                <wp:effectExtent l="0" t="0" r="1016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011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A0" w:rsidRPr="000024E7" w:rsidRDefault="00CC17A0" w:rsidP="00CC17A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24E7">
                              <w:rPr>
                                <w:rFonts w:ascii="Comic Sans MS" w:hAnsi="Comic Sans MS"/>
                                <w:b/>
                              </w:rPr>
                              <w:t>St. Elisabeth’s CE Primary School</w:t>
                            </w:r>
                          </w:p>
                          <w:p w:rsidR="00CC17A0" w:rsidRPr="000024E7" w:rsidRDefault="00CC17A0" w:rsidP="00CC17A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24E7">
                              <w:rPr>
                                <w:rFonts w:ascii="Comic Sans MS" w:hAnsi="Comic Sans MS"/>
                                <w:b/>
                              </w:rPr>
                              <w:t xml:space="preserve">English Overview – Year </w:t>
                            </w:r>
                            <w:r w:rsidR="009868CA" w:rsidRPr="000024E7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 w:rsidR="00637E5D" w:rsidRPr="000024E7">
                              <w:rPr>
                                <w:rFonts w:ascii="Comic Sans MS" w:hAnsi="Comic Sans MS"/>
                                <w:b/>
                              </w:rPr>
                              <w:t xml:space="preserve"> (Cycle</w:t>
                            </w:r>
                            <w:r w:rsidR="001D0E4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56567"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  <w:r w:rsidR="008331DD" w:rsidRPr="000024E7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CC17A0" w:rsidRPr="00CC17A0" w:rsidRDefault="00CC17A0" w:rsidP="00CC17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4CBE" id="_x0000_s1027" type="#_x0000_t202" style="position:absolute;margin-left:0;margin-top:0;width:417.7pt;height:41.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">
                <v:textbox>
                  <w:txbxContent>
                    <w:p w:rsidR="00CC17A0" w:rsidRPr="000024E7" w:rsidRDefault="00CC17A0" w:rsidP="00CC17A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024E7">
                        <w:rPr>
                          <w:rFonts w:ascii="Comic Sans MS" w:hAnsi="Comic Sans MS"/>
                          <w:b/>
                        </w:rPr>
                        <w:t>St. Elisabeth’s CE Primary School</w:t>
                      </w:r>
                    </w:p>
                    <w:p w:rsidR="00CC17A0" w:rsidRPr="000024E7" w:rsidRDefault="00CC17A0" w:rsidP="00CC17A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024E7">
                        <w:rPr>
                          <w:rFonts w:ascii="Comic Sans MS" w:hAnsi="Comic Sans MS"/>
                          <w:b/>
                        </w:rPr>
                        <w:t xml:space="preserve">English Overview – Year </w:t>
                      </w:r>
                      <w:r w:rsidR="009868CA" w:rsidRPr="000024E7">
                        <w:rPr>
                          <w:rFonts w:ascii="Comic Sans MS" w:hAnsi="Comic Sans MS"/>
                          <w:b/>
                        </w:rPr>
                        <w:t>3</w:t>
                      </w:r>
                      <w:r w:rsidR="00637E5D" w:rsidRPr="000024E7">
                        <w:rPr>
                          <w:rFonts w:ascii="Comic Sans MS" w:hAnsi="Comic Sans MS"/>
                          <w:b/>
                        </w:rPr>
                        <w:t xml:space="preserve"> (Cycle</w:t>
                      </w:r>
                      <w:r w:rsidR="001D0E4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56567">
                        <w:rPr>
                          <w:rFonts w:ascii="Comic Sans MS" w:hAnsi="Comic Sans MS"/>
                          <w:b/>
                        </w:rPr>
                        <w:t>B</w:t>
                      </w:r>
                      <w:r w:rsidR="008331DD" w:rsidRPr="000024E7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CC17A0" w:rsidRPr="00CC17A0" w:rsidRDefault="00CC17A0" w:rsidP="00CC17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2F7" w:rsidRDefault="00CC17A0" w:rsidP="00CC17A0">
      <w:pPr>
        <w:tabs>
          <w:tab w:val="left" w:pos="12334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365"/>
        <w:gridCol w:w="4365"/>
        <w:gridCol w:w="4366"/>
      </w:tblGrid>
      <w:tr w:rsidR="00CC17A0" w:rsidRPr="00CC17A0" w:rsidTr="00CC17A0">
        <w:tc>
          <w:tcPr>
            <w:tcW w:w="2518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365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</w:p>
        </w:tc>
        <w:tc>
          <w:tcPr>
            <w:tcW w:w="4365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</w:t>
            </w:r>
          </w:p>
        </w:tc>
        <w:tc>
          <w:tcPr>
            <w:tcW w:w="4366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</w:tr>
      <w:tr w:rsidR="00CC17A0" w:rsidRPr="00CC17A0" w:rsidTr="00CC17A0">
        <w:tc>
          <w:tcPr>
            <w:tcW w:w="2518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Vehicle Text</w:t>
            </w:r>
          </w:p>
        </w:tc>
        <w:tc>
          <w:tcPr>
            <w:tcW w:w="4365" w:type="dxa"/>
          </w:tcPr>
          <w:p w:rsidR="001D0E4C" w:rsidRDefault="001D0E4C" w:rsidP="001D0E4C">
            <w:pPr>
              <w:tabs>
                <w:tab w:val="left" w:pos="12334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Return</w:t>
            </w:r>
          </w:p>
          <w:p w:rsidR="000024E7" w:rsidRPr="00CC17A0" w:rsidRDefault="001D0E4C" w:rsidP="001D0E4C">
            <w:pPr>
              <w:tabs>
                <w:tab w:val="left" w:pos="12334"/>
              </w:tabs>
              <w:jc w:val="center"/>
              <w:rPr>
                <w:rFonts w:ascii="Comic Sans MS" w:hAnsi="Comic Sans MS"/>
                <w:b/>
              </w:rPr>
            </w:pPr>
            <w:r w:rsidRPr="00CD3F03"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F0D6A18" wp14:editId="00ABE760">
                  <wp:extent cx="1000125" cy="8842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97" cy="90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856567" w:rsidRDefault="00856567" w:rsidP="00856567">
            <w:pPr>
              <w:tabs>
                <w:tab w:val="left" w:pos="12334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Seen and not heard</w:t>
            </w:r>
          </w:p>
          <w:p w:rsidR="000024E7" w:rsidRPr="00CC17A0" w:rsidRDefault="00856567" w:rsidP="00856567">
            <w:pPr>
              <w:tabs>
                <w:tab w:val="left" w:pos="12334"/>
              </w:tabs>
              <w:jc w:val="center"/>
              <w:rPr>
                <w:rFonts w:ascii="Comic Sans MS" w:hAnsi="Comic Sans MS"/>
                <w:b/>
              </w:rPr>
            </w:pPr>
            <w:r w:rsidRPr="00646228">
              <w:rPr>
                <w:rFonts w:ascii="Tahoma" w:hAnsi="Tahoma" w:cs="Tahoma"/>
                <w:b/>
                <w:noProof/>
                <w:sz w:val="16"/>
                <w:szCs w:val="16"/>
              </w:rPr>
              <w:drawing>
                <wp:inline distT="0" distB="0" distL="0" distR="0" wp14:anchorId="12592D61" wp14:editId="022E8D53">
                  <wp:extent cx="933005" cy="86281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04" cy="86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</w:tcPr>
          <w:p w:rsidR="00856567" w:rsidRDefault="00856567" w:rsidP="00856567">
            <w:pPr>
              <w:tabs>
                <w:tab w:val="left" w:pos="12334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Jemmy Button</w:t>
            </w:r>
          </w:p>
          <w:p w:rsidR="00856567" w:rsidRPr="00CC17A0" w:rsidRDefault="00856567" w:rsidP="00856567">
            <w:pPr>
              <w:tabs>
                <w:tab w:val="left" w:pos="12334"/>
              </w:tabs>
              <w:jc w:val="center"/>
              <w:rPr>
                <w:rFonts w:ascii="Comic Sans MS" w:hAnsi="Comic Sans MS"/>
                <w:b/>
              </w:rPr>
            </w:pPr>
            <w:r w:rsidRPr="00CD3F03"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AC19A51" wp14:editId="4049C89A">
                  <wp:extent cx="1028700" cy="90450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57" cy="91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7A0" w:rsidRPr="00CC17A0" w:rsidTr="00CC17A0">
        <w:tc>
          <w:tcPr>
            <w:tcW w:w="2518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Genre Coverage</w:t>
            </w:r>
          </w:p>
        </w:tc>
        <w:tc>
          <w:tcPr>
            <w:tcW w:w="4365" w:type="dxa"/>
          </w:tcPr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Setting Description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1D0E4C" w:rsidRPr="00856567" w:rsidRDefault="001D0E4C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Travel Report</w:t>
            </w:r>
          </w:p>
          <w:p w:rsidR="00CC17A0" w:rsidRPr="00856567" w:rsidRDefault="001D0E4C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 xml:space="preserve">Non </w:t>
            </w:r>
            <w:proofErr w:type="spellStart"/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chron</w:t>
            </w:r>
            <w:proofErr w:type="spellEnd"/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 xml:space="preserve"> report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Rocks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, </w:t>
            </w:r>
            <w:r w:rsidRPr="00856567">
              <w:rPr>
                <w:rFonts w:ascii="Comic Sans MS" w:hAnsi="Comic Sans MS" w:cs="Tahoma"/>
                <w:sz w:val="20"/>
                <w:szCs w:val="20"/>
              </w:rPr>
              <w:t>fossils and soils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Link science.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Newspaper report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Romans and impact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Link History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Performance poetry</w:t>
            </w:r>
          </w:p>
          <w:p w:rsidR="00856567" w:rsidRPr="00856567" w:rsidRDefault="00856567" w:rsidP="00856567">
            <w:pPr>
              <w:jc w:val="center"/>
              <w:textAlignment w:val="baseline"/>
              <w:rPr>
                <w:rFonts w:ascii="Comic Sans MS" w:eastAsia="Times New Roman" w:hAnsi="Comic Sans MS" w:cs="Tahoma"/>
                <w:i/>
                <w:sz w:val="20"/>
                <w:szCs w:val="20"/>
                <w:lang w:eastAsia="en-GB"/>
              </w:rPr>
            </w:pPr>
            <w:r w:rsidRPr="00856567">
              <w:rPr>
                <w:rFonts w:ascii="Comic Sans MS" w:eastAsia="Times New Roman" w:hAnsi="Comic Sans MS" w:cs="Tahoma"/>
                <w:i/>
                <w:sz w:val="20"/>
                <w:szCs w:val="20"/>
                <w:bdr w:val="none" w:sz="0" w:space="0" w:color="auto" w:frame="1"/>
                <w:lang w:eastAsia="en-GB"/>
              </w:rPr>
              <w:t>I Don't Like Poetry</w:t>
            </w:r>
          </w:p>
          <w:p w:rsidR="00856567" w:rsidRPr="00856567" w:rsidRDefault="00856567" w:rsidP="00856567">
            <w:pPr>
              <w:spacing w:after="45"/>
              <w:jc w:val="center"/>
              <w:textAlignment w:val="baseline"/>
              <w:rPr>
                <w:rFonts w:ascii="Comic Sans MS" w:eastAsia="Times New Roman" w:hAnsi="Comic Sans MS" w:cs="Tahoma"/>
                <w:sz w:val="20"/>
                <w:szCs w:val="20"/>
                <w:lang w:eastAsia="en-GB"/>
              </w:rPr>
            </w:pPr>
            <w:r w:rsidRPr="00856567">
              <w:rPr>
                <w:rFonts w:ascii="Comic Sans MS" w:eastAsia="Times New Roman" w:hAnsi="Comic Sans MS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Joshua </w:t>
            </w:r>
            <w:proofErr w:type="spellStart"/>
            <w:r w:rsidRPr="00856567">
              <w:rPr>
                <w:rFonts w:ascii="Comic Sans MS" w:eastAsia="Times New Roman" w:hAnsi="Comic Sans MS" w:cs="Tahoma"/>
                <w:sz w:val="20"/>
                <w:szCs w:val="20"/>
                <w:bdr w:val="none" w:sz="0" w:space="0" w:color="auto" w:frame="1"/>
                <w:lang w:eastAsia="en-GB"/>
              </w:rPr>
              <w:t>Seigal</w:t>
            </w:r>
            <w:proofErr w:type="spellEnd"/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Character Narrative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Instructions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Recount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River study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 xml:space="preserve">Non </w:t>
            </w:r>
            <w:proofErr w:type="spellStart"/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chron</w:t>
            </w:r>
            <w:proofErr w:type="spellEnd"/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 xml:space="preserve"> report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Animals – link with Science.</w:t>
            </w:r>
          </w:p>
          <w:p w:rsidR="000024E7" w:rsidRPr="00CC17A0" w:rsidRDefault="00856567" w:rsidP="00856567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</w:tc>
        <w:tc>
          <w:tcPr>
            <w:tcW w:w="4366" w:type="dxa"/>
          </w:tcPr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Return Narrative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>3 weeks</w:t>
            </w:r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Setting Description</w:t>
            </w:r>
          </w:p>
          <w:p w:rsidR="00D247B3" w:rsidRPr="00856567" w:rsidRDefault="00856567" w:rsidP="00856567">
            <w:pPr>
              <w:tabs>
                <w:tab w:val="left" w:pos="12334"/>
              </w:tabs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sz w:val="20"/>
                <w:szCs w:val="20"/>
              </w:rPr>
              <w:t xml:space="preserve">3 </w:t>
            </w:r>
            <w:proofErr w:type="gramStart"/>
            <w:r w:rsidRPr="00856567">
              <w:rPr>
                <w:rFonts w:ascii="Comic Sans MS" w:hAnsi="Comic Sans MS" w:cs="Tahoma"/>
                <w:sz w:val="20"/>
                <w:szCs w:val="20"/>
              </w:rPr>
              <w:t>week</w:t>
            </w:r>
            <w:proofErr w:type="gramEnd"/>
          </w:p>
          <w:p w:rsidR="00856567" w:rsidRPr="00856567" w:rsidRDefault="00856567" w:rsidP="00856567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856567">
              <w:rPr>
                <w:rFonts w:ascii="Comic Sans MS" w:hAnsi="Comic Sans MS" w:cs="Tahoma"/>
                <w:b/>
                <w:sz w:val="20"/>
                <w:szCs w:val="20"/>
              </w:rPr>
              <w:t>Poetry: Riddles/acrostics, kennings</w:t>
            </w:r>
          </w:p>
          <w:p w:rsidR="00856567" w:rsidRPr="00856567" w:rsidRDefault="00856567" w:rsidP="00856567">
            <w:pPr>
              <w:pStyle w:val="font6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Tahoma"/>
                <w:i/>
                <w:sz w:val="20"/>
                <w:szCs w:val="20"/>
              </w:rPr>
            </w:pPr>
            <w:r w:rsidRPr="00856567">
              <w:rPr>
                <w:rStyle w:val="Emphasis"/>
                <w:rFonts w:ascii="Comic Sans MS" w:hAnsi="Comic Sans MS" w:cs="Tahoma"/>
                <w:sz w:val="20"/>
                <w:szCs w:val="20"/>
                <w:bdr w:val="none" w:sz="0" w:space="0" w:color="auto" w:frame="1"/>
              </w:rPr>
              <w:t>I am a Jigsaw: Puzzling Poems to Baffle your Brain</w:t>
            </w:r>
          </w:p>
          <w:p w:rsidR="00856567" w:rsidRPr="00856567" w:rsidRDefault="00856567" w:rsidP="00856567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Style w:val="Emphasis"/>
                <w:rFonts w:ascii="Comic Sans MS" w:hAnsi="Comic Sans MS" w:cs="Tahoma"/>
                <w:i w:val="0"/>
                <w:iCs w:val="0"/>
                <w:sz w:val="20"/>
                <w:szCs w:val="20"/>
                <w:bdr w:val="none" w:sz="0" w:space="0" w:color="auto" w:frame="1"/>
              </w:rPr>
            </w:pPr>
            <w:r w:rsidRPr="00856567">
              <w:rPr>
                <w:rStyle w:val="Emphasis"/>
                <w:rFonts w:ascii="Comic Sans MS" w:hAnsi="Comic Sans MS" w:cs="Tahoma"/>
                <w:sz w:val="20"/>
                <w:szCs w:val="20"/>
                <w:bdr w:val="none" w:sz="0" w:space="0" w:color="auto" w:frame="1"/>
              </w:rPr>
              <w:t>Roger Stevens</w:t>
            </w:r>
          </w:p>
          <w:p w:rsidR="00856567" w:rsidRPr="00CC17A0" w:rsidRDefault="00856567" w:rsidP="00856567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856567">
              <w:rPr>
                <w:rFonts w:ascii="Comic Sans MS" w:hAnsi="Comic Sans MS" w:cs="Tahoma"/>
                <w:sz w:val="20"/>
                <w:szCs w:val="20"/>
              </w:rPr>
              <w:t>1 week</w:t>
            </w:r>
          </w:p>
        </w:tc>
      </w:tr>
      <w:tr w:rsidR="004A5E10" w:rsidRPr="00CC17A0" w:rsidTr="007E6D08">
        <w:tc>
          <w:tcPr>
            <w:tcW w:w="2518" w:type="dxa"/>
          </w:tcPr>
          <w:p w:rsidR="004A5E10" w:rsidRPr="00CC17A0" w:rsidRDefault="004A5E1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Vocabulary, Grammar and Punctuation</w:t>
            </w:r>
          </w:p>
        </w:tc>
        <w:tc>
          <w:tcPr>
            <w:tcW w:w="13096" w:type="dxa"/>
            <w:gridSpan w:val="3"/>
          </w:tcPr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025EA">
              <w:rPr>
                <w:rFonts w:ascii="Comic Sans MS" w:hAnsi="Comic Sans MS"/>
                <w:b/>
                <w:sz w:val="16"/>
                <w:szCs w:val="16"/>
              </w:rPr>
              <w:t>Vocabulary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Understand and use effectively vocabulary typical of informal. Form nouns using a range of prefixes e.g. super-, anti-, auto-. 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Use the forms a or an according to whether the next word begins with a consonant or a vowel e.g. a rock, an open box. </w:t>
            </w:r>
          </w:p>
          <w:p w:rsidR="004A5E10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>Identify Word families based on common root words e.g. solve, solution, solver, dissolve, insoluble.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025EA">
              <w:rPr>
                <w:rFonts w:ascii="Comic Sans MS" w:hAnsi="Comic Sans MS"/>
                <w:b/>
                <w:sz w:val="16"/>
                <w:szCs w:val="16"/>
              </w:rPr>
              <w:t>Grammar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Use statements, questions, exclamations and commands for the appropriate effect. 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Confidently use the progressive forms of verbs. 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>Use the present perfect form of verbs instead of the simple past e.g. He has gone out to play contrasted with He went out to play.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Express time, place and cause using co-ordinating and subordinating conjunctions e.g. when, before, after, while, so, because, adverbs e.g. then, next, soon, therefore, or prepositions e.g. before, after, during, in, because of. 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>Use expanded noun phrases to add description and detail. Learn the grammar for Years 3 and 4 within English Appendix 2.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Understand and use the following grammatical terminology: preposition, conjunction; word family, prefix; clause, subordinate clause; direct speech; consonant, consonant </w:t>
            </w: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lastRenderedPageBreak/>
              <w:t>letter vowel, vowel letter; and inverted commas (or 'speech marks').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025EA">
              <w:rPr>
                <w:rFonts w:ascii="Comic Sans MS" w:hAnsi="Comic Sans MS"/>
                <w:b/>
                <w:sz w:val="16"/>
                <w:szCs w:val="16"/>
              </w:rPr>
              <w:t>Punctuation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Mostly accurate use full stops and capital letters (including for proper nouns). 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Mostly accurate use exclamation marks and question marks. 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Mostly accurate use commas to separate items in a list. </w:t>
            </w:r>
          </w:p>
          <w:p w:rsidR="004A5E10" w:rsidRPr="00E025EA" w:rsidRDefault="004A5E10" w:rsidP="004A5E10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>Some accurate use of apostrophes for contracted forms e.g. don’t.</w:t>
            </w:r>
          </w:p>
          <w:p w:rsidR="004A5E10" w:rsidRPr="00CC17A0" w:rsidRDefault="004A5E10" w:rsidP="004A5E10">
            <w:pPr>
              <w:tabs>
                <w:tab w:val="left" w:pos="12334"/>
              </w:tabs>
              <w:rPr>
                <w:rFonts w:ascii="Comic Sans MS" w:hAnsi="Comic Sans MS"/>
              </w:rPr>
            </w:pPr>
            <w:r w:rsidRPr="00E025EA">
              <w:rPr>
                <w:rFonts w:ascii="Comic Sans MS" w:hAnsi="Comic Sans MS"/>
                <w:color w:val="FF0000"/>
                <w:sz w:val="16"/>
                <w:szCs w:val="16"/>
              </w:rPr>
              <w:t>Some use inverted commas to punctuate direct speech.</w:t>
            </w:r>
          </w:p>
        </w:tc>
      </w:tr>
      <w:tr w:rsidR="00CC17A0" w:rsidRPr="00CC17A0" w:rsidTr="00CC17A0">
        <w:tc>
          <w:tcPr>
            <w:tcW w:w="2518" w:type="dxa"/>
          </w:tcPr>
          <w:p w:rsidR="00CC17A0" w:rsidRPr="00CC17A0" w:rsidRDefault="00CC17A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Spelling/Phonics</w:t>
            </w:r>
          </w:p>
        </w:tc>
        <w:tc>
          <w:tcPr>
            <w:tcW w:w="4365" w:type="dxa"/>
          </w:tcPr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Spelling: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Year 2 review of suffixes (-ed,-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,-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–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est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)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Year 2 review of suffixes (-ness,-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ment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ful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,-less)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sound spelt y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u sound spelt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ou</w:t>
            </w:r>
            <w:proofErr w:type="spellEnd"/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ai sound spelt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eigh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ey</w:t>
            </w:r>
            <w:proofErr w:type="spellEnd"/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un- prefix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dis- prefix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mis- prefix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re- prefix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word families</w:t>
            </w:r>
          </w:p>
          <w:p w:rsidR="00CC17A0" w:rsidRPr="00CC17A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Year 3 and 4 Word List (on-going)</w:t>
            </w:r>
          </w:p>
        </w:tc>
        <w:tc>
          <w:tcPr>
            <w:tcW w:w="4365" w:type="dxa"/>
          </w:tcPr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Spelling: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Spelling review (1 week)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super- prefix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anti- and sub- prefixes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auto- prefix and review work on prefixes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suffix (change the y to an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)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suffix (-le changed to –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)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-ally suffix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ation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suffix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double consonants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split digraphs – long vowel sounds</w:t>
            </w:r>
          </w:p>
          <w:p w:rsidR="00CC17A0" w:rsidRPr="00CC17A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Year 3 and 4 Word List (on-going)</w:t>
            </w:r>
          </w:p>
        </w:tc>
        <w:tc>
          <w:tcPr>
            <w:tcW w:w="4366" w:type="dxa"/>
          </w:tcPr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Spelling: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suffix and spelling review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in- prefix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il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- and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im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- prefixes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ir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- prefix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inter- prefix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homophones and near homophones (2 weeks)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words from across the curriculum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suffixes (vowel letters)</w:t>
            </w:r>
          </w:p>
          <w:p w:rsidR="004A5E10" w:rsidRDefault="004A5E10" w:rsidP="004A5E10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sion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–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endings</w:t>
            </w:r>
          </w:p>
          <w:p w:rsidR="00CC17A0" w:rsidRPr="00D247B3" w:rsidRDefault="004A5E10" w:rsidP="00D247B3">
            <w:pPr>
              <w:tabs>
                <w:tab w:val="left" w:pos="12334"/>
              </w:tabs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Year </w:t>
            </w:r>
            <w:proofErr w:type="gram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3 and 4 Word</w:t>
            </w:r>
            <w:proofErr w:type="gram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List (on-going)</w:t>
            </w:r>
          </w:p>
        </w:tc>
      </w:tr>
      <w:tr w:rsidR="004A5E10" w:rsidRPr="00CC17A0" w:rsidTr="00C230DA">
        <w:tc>
          <w:tcPr>
            <w:tcW w:w="2518" w:type="dxa"/>
          </w:tcPr>
          <w:p w:rsidR="004A5E10" w:rsidRDefault="004A5E10" w:rsidP="00CC17A0">
            <w:pPr>
              <w:tabs>
                <w:tab w:val="left" w:pos="1233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13096" w:type="dxa"/>
            <w:gridSpan w:val="3"/>
          </w:tcPr>
          <w:p w:rsidR="004A5E10" w:rsidRPr="00CC17A0" w:rsidRDefault="004A5E10" w:rsidP="004A5E10">
            <w:pPr>
              <w:tabs>
                <w:tab w:val="left" w:pos="12334"/>
              </w:tabs>
              <w:rPr>
                <w:rFonts w:ascii="Comic Sans MS" w:hAnsi="Comic Sans MS"/>
              </w:rPr>
            </w:pPr>
            <w:r w:rsidRPr="00E025EA"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  <w:t xml:space="preserve">Increasingly use the diagonal and horizontal strokes that are needed to join letters and begin to understand which letters, when adjacent to one another, are best left </w:t>
            </w:r>
            <w:proofErr w:type="spellStart"/>
            <w:r w:rsidRPr="00E025EA"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  <w:t>unjoined</w:t>
            </w:r>
            <w:proofErr w:type="spellEnd"/>
            <w:r w:rsidRPr="00E025EA"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  <w:t>. Increase the legibility, consistency and quality of his/her handwriting e.g. by beginning to ensure that the downstrokes of letters are parallel and equidistant; that lines of writing are spaced sufficiently so that the ascenders and descenders of letters do not touch.</w:t>
            </w:r>
          </w:p>
        </w:tc>
      </w:tr>
    </w:tbl>
    <w:p w:rsidR="00CC17A0" w:rsidRPr="00CC17A0" w:rsidRDefault="00CC17A0" w:rsidP="00CC17A0">
      <w:pPr>
        <w:tabs>
          <w:tab w:val="left" w:pos="12334"/>
        </w:tabs>
        <w:jc w:val="center"/>
        <w:rPr>
          <w:rFonts w:ascii="Comic Sans MS" w:hAnsi="Comic Sans MS"/>
        </w:rPr>
      </w:pPr>
    </w:p>
    <w:sectPr w:rsidR="00CC17A0" w:rsidRPr="00CC17A0" w:rsidSect="00CC1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7A0"/>
    <w:rsid w:val="000024E7"/>
    <w:rsid w:val="00170110"/>
    <w:rsid w:val="001D0E4C"/>
    <w:rsid w:val="00486EC7"/>
    <w:rsid w:val="004A5E10"/>
    <w:rsid w:val="005B38A6"/>
    <w:rsid w:val="00637E5D"/>
    <w:rsid w:val="006A006C"/>
    <w:rsid w:val="00790375"/>
    <w:rsid w:val="007F34D5"/>
    <w:rsid w:val="008331DD"/>
    <w:rsid w:val="00856567"/>
    <w:rsid w:val="009868CA"/>
    <w:rsid w:val="009B3D6D"/>
    <w:rsid w:val="00B5258C"/>
    <w:rsid w:val="00B57D8E"/>
    <w:rsid w:val="00CC17A0"/>
    <w:rsid w:val="00D247B3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1CA1"/>
  <w15:docId w15:val="{2A01384E-937F-402E-8AD7-FF2BB4E4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7A0"/>
    <w:pPr>
      <w:spacing w:after="0" w:line="240" w:lineRule="auto"/>
    </w:pPr>
  </w:style>
  <w:style w:type="table" w:styleId="TableGrid">
    <w:name w:val="Table Grid"/>
    <w:basedOn w:val="TableNormal"/>
    <w:uiPriority w:val="59"/>
    <w:rsid w:val="00CC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_6"/>
    <w:basedOn w:val="Normal"/>
    <w:rsid w:val="008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6567"/>
    <w:rPr>
      <w:i/>
      <w:iCs/>
    </w:rPr>
  </w:style>
  <w:style w:type="paragraph" w:customStyle="1" w:styleId="font8">
    <w:name w:val="font_8"/>
    <w:basedOn w:val="Normal"/>
    <w:rsid w:val="008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Millen</dc:creator>
  <cp:lastModifiedBy>Mrs Lancashire</cp:lastModifiedBy>
  <cp:revision>8</cp:revision>
  <dcterms:created xsi:type="dcterms:W3CDTF">2020-03-24T13:56:00Z</dcterms:created>
  <dcterms:modified xsi:type="dcterms:W3CDTF">2022-12-16T10:37:00Z</dcterms:modified>
</cp:coreProperties>
</file>